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</w:t>
              <w:br/>
              <w:t xml:space="preserve">99 ม.1  ตำบลในเมือง   อำเภอพิมาย    จังหวัดนครราชสีมา โทร./โทรสาร 044-481692</w:t>
              <w:br/>
              <w:t xml:space="preserve">www.naimeug 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(แต่ละประเภทกิจการ)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 99 ม.1  ตำบลในเมือง   อำเภอพิมาย    จังหวัดนครราชสีมา โทร./โทรสาร 044-481692 www.naimeug 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 อบต.ในเมือง  สำเนาคู่มือประชาชน 14/09/2015 17:27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